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D" w:rsidRPr="00165C0D" w:rsidRDefault="00165C0D" w:rsidP="00165C0D">
      <w:pPr>
        <w:pStyle w:val="Textoindependiente"/>
        <w:spacing w:before="94"/>
        <w:ind w:left="153" w:right="201"/>
        <w:jc w:val="both"/>
        <w:rPr>
          <w:b/>
          <w:sz w:val="28"/>
          <w:szCs w:val="28"/>
        </w:rPr>
      </w:pPr>
      <w:r w:rsidRPr="00165C0D">
        <w:rPr>
          <w:b/>
          <w:sz w:val="28"/>
          <w:szCs w:val="28"/>
        </w:rPr>
        <w:t>Acuerdos de  la 42ª Junta General Anual Ordinaria de la Comunidad Costa Rica  del 2 de marzo de 2019.</w:t>
      </w:r>
    </w:p>
    <w:p w:rsidR="00165C0D" w:rsidRDefault="00165C0D" w:rsidP="00165C0D">
      <w:pPr>
        <w:pStyle w:val="Heading1"/>
        <w:spacing w:before="94"/>
        <w:rPr>
          <w:u w:val="none"/>
        </w:rPr>
      </w:pPr>
    </w:p>
    <w:p w:rsidR="00165C0D" w:rsidRPr="007575F5" w:rsidRDefault="00165C0D" w:rsidP="00165C0D">
      <w:pPr>
        <w:pStyle w:val="Heading1"/>
        <w:spacing w:before="94"/>
      </w:pPr>
      <w:r>
        <w:rPr>
          <w:u w:val="none"/>
        </w:rPr>
        <w:t xml:space="preserve">POD 6.3  </w:t>
      </w:r>
      <w:r w:rsidRPr="000425F4">
        <w:rPr>
          <w:u w:val="none"/>
        </w:rPr>
        <w:t xml:space="preserve"> </w:t>
      </w:r>
      <w:r w:rsidRPr="00AF7B5F">
        <w:t>Renovación de la instalación de fontanería.</w:t>
      </w:r>
    </w:p>
    <w:p w:rsidR="00165C0D" w:rsidRDefault="00165C0D" w:rsidP="00165C0D">
      <w:pPr>
        <w:pStyle w:val="Textoindependiente"/>
        <w:spacing w:before="10"/>
        <w:rPr>
          <w:b/>
          <w:sz w:val="13"/>
        </w:rPr>
      </w:pPr>
    </w:p>
    <w:p w:rsidR="00165C0D" w:rsidRPr="00AF7B5F" w:rsidRDefault="00165C0D" w:rsidP="00165C0D">
      <w:pPr>
        <w:spacing w:before="94"/>
        <w:ind w:left="153"/>
        <w:rPr>
          <w:b/>
          <w:u w:val="single"/>
        </w:rPr>
      </w:pPr>
      <w:r w:rsidRPr="00AF7B5F">
        <w:rPr>
          <w:b/>
          <w:spacing w:val="-184"/>
          <w:u w:val="single"/>
        </w:rPr>
        <w:t>M</w:t>
      </w:r>
      <w:r w:rsidRPr="00AF7B5F">
        <w:rPr>
          <w:b/>
          <w:spacing w:val="128"/>
          <w:u w:val="single"/>
        </w:rPr>
        <w:t xml:space="preserve"> </w:t>
      </w:r>
      <w:proofErr w:type="spellStart"/>
      <w:r w:rsidRPr="00AF7B5F">
        <w:rPr>
          <w:b/>
          <w:u w:val="single"/>
        </w:rPr>
        <w:t>oción</w:t>
      </w:r>
      <w:proofErr w:type="spellEnd"/>
      <w:r w:rsidRPr="00AF7B5F">
        <w:rPr>
          <w:b/>
          <w:u w:val="single"/>
        </w:rPr>
        <w:t>:</w:t>
      </w:r>
    </w:p>
    <w:p w:rsidR="00165C0D" w:rsidRDefault="00165C0D" w:rsidP="00165C0D">
      <w:pPr>
        <w:pStyle w:val="Textoindependiente"/>
        <w:spacing w:before="49"/>
        <w:ind w:left="153" w:right="235"/>
        <w:jc w:val="both"/>
      </w:pPr>
      <w:r>
        <w:t>Que la CCR acuerde las posibilidades y los gastos para la renovación de los tubos bajantes de Uralita y, eventualmente, las tuberías de agua en un eje del Edificio a determinar.</w:t>
      </w:r>
    </w:p>
    <w:p w:rsidR="00165C0D" w:rsidRDefault="00165C0D" w:rsidP="00165C0D">
      <w:pPr>
        <w:pStyle w:val="Textoindependiente"/>
        <w:spacing w:before="180" w:line="244" w:lineRule="auto"/>
        <w:ind w:left="153"/>
      </w:pPr>
      <w:r>
        <w:rPr>
          <w:b/>
        </w:rPr>
        <w:t xml:space="preserve">Fundamentos: </w:t>
      </w:r>
      <w:r>
        <w:t xml:space="preserve">La compañía de seguros </w:t>
      </w:r>
      <w:proofErr w:type="spellStart"/>
      <w:r>
        <w:t>Liberty</w:t>
      </w:r>
      <w:proofErr w:type="spellEnd"/>
      <w:r>
        <w:t xml:space="preserve"> ha advertido a la CCR que no cubrirá más daños de agua por tuberías de Uralita o galvanizadas, a causa de su antigüedad y estado.</w:t>
      </w:r>
    </w:p>
    <w:p w:rsidR="00165C0D" w:rsidRPr="00AF7B5F" w:rsidRDefault="00165C0D" w:rsidP="00165C0D">
      <w:pPr>
        <w:pStyle w:val="Heading1"/>
        <w:spacing w:before="181"/>
      </w:pPr>
      <w:r w:rsidRPr="00AF7B5F">
        <w:rPr>
          <w:spacing w:val="-160"/>
        </w:rPr>
        <w:t>R</w:t>
      </w:r>
      <w:r w:rsidRPr="00AF7B5F">
        <w:rPr>
          <w:spacing w:val="102"/>
        </w:rPr>
        <w:t xml:space="preserve"> </w:t>
      </w:r>
      <w:proofErr w:type="spellStart"/>
      <w:r w:rsidRPr="00AF7B5F">
        <w:t>esultado</w:t>
      </w:r>
      <w:proofErr w:type="spellEnd"/>
      <w:r w:rsidRPr="00AF7B5F">
        <w:t xml:space="preserve"> de la votación</w:t>
      </w:r>
    </w:p>
    <w:p w:rsidR="00165C0D" w:rsidRDefault="00165C0D" w:rsidP="00165C0D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5031"/>
        <w:gridCol w:w="1561"/>
        <w:gridCol w:w="1347"/>
      </w:tblGrid>
      <w:tr w:rsidR="00165C0D" w:rsidTr="00165C0D">
        <w:trPr>
          <w:trHeight w:val="744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A favor</w:t>
            </w:r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112" w:line="384" w:lineRule="auto"/>
              <w:ind w:left="124" w:right="2764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Todos</w:t>
            </w:r>
            <w:proofErr w:type="spellEnd"/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355"/>
              </w:tabs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39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= 34,737 %</w:t>
            </w:r>
          </w:p>
        </w:tc>
      </w:tr>
      <w:tr w:rsidR="00165C0D" w:rsidTr="00165C0D">
        <w:trPr>
          <w:trHeight w:val="744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65C0D" w:rsidRDefault="00165C0D" w:rsidP="00B062F0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En contra</w:t>
            </w:r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66" w:line="360" w:lineRule="auto"/>
              <w:ind w:left="124" w:right="2764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Ninguno</w:t>
            </w:r>
            <w:proofErr w:type="spellEnd"/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466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= 0,000 %</w:t>
            </w:r>
          </w:p>
        </w:tc>
      </w:tr>
      <w:tr w:rsidR="00165C0D" w:rsidTr="00165C0D">
        <w:trPr>
          <w:trHeight w:val="682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Abstenciones</w:t>
            </w:r>
            <w:proofErr w:type="spellEnd"/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66" w:line="434" w:lineRule="auto"/>
              <w:ind w:left="68" w:right="2765" w:firstLine="55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Ninguno</w:t>
            </w:r>
            <w:proofErr w:type="spellEnd"/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411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= 0,000 %</w:t>
            </w:r>
          </w:p>
        </w:tc>
      </w:tr>
    </w:tbl>
    <w:p w:rsidR="00165C0D" w:rsidRDefault="00165C0D" w:rsidP="00165C0D">
      <w:pPr>
        <w:spacing w:before="110"/>
        <w:ind w:left="153"/>
      </w:pPr>
      <w:r w:rsidRPr="00AF7B5F">
        <w:rPr>
          <w:b/>
          <w:spacing w:val="-160"/>
          <w:u w:val="single"/>
        </w:rPr>
        <w:t>R</w:t>
      </w:r>
      <w:r w:rsidRPr="00AF7B5F">
        <w:rPr>
          <w:b/>
          <w:spacing w:val="101"/>
          <w:u w:val="single"/>
        </w:rPr>
        <w:t xml:space="preserve"> </w:t>
      </w:r>
      <w:proofErr w:type="spellStart"/>
      <w:r w:rsidRPr="00AF7B5F">
        <w:rPr>
          <w:b/>
          <w:u w:val="single"/>
        </w:rPr>
        <w:t>esultado</w:t>
      </w:r>
      <w:proofErr w:type="spellEnd"/>
      <w:r w:rsidRPr="00AF7B5F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La moción antecedente se aprueba como acuerdo </w:t>
      </w:r>
      <w:r>
        <w:rPr>
          <w:spacing w:val="-2"/>
        </w:rPr>
        <w:t xml:space="preserve">por </w:t>
      </w:r>
      <w:r>
        <w:t xml:space="preserve">decisión </w:t>
      </w:r>
      <w:r w:rsidRPr="00AF7B5F">
        <w:rPr>
          <w:b/>
          <w:spacing w:val="-135"/>
          <w:u w:val="single"/>
        </w:rPr>
        <w:t>u</w:t>
      </w:r>
      <w:r w:rsidRPr="00AF7B5F">
        <w:rPr>
          <w:b/>
          <w:spacing w:val="77"/>
          <w:u w:val="single"/>
        </w:rPr>
        <w:t xml:space="preserve"> </w:t>
      </w:r>
      <w:proofErr w:type="spellStart"/>
      <w:r w:rsidRPr="00AF7B5F">
        <w:rPr>
          <w:b/>
          <w:u w:val="single"/>
        </w:rPr>
        <w:t>nánime</w:t>
      </w:r>
      <w:proofErr w:type="spellEnd"/>
      <w:r>
        <w:t>.</w:t>
      </w:r>
    </w:p>
    <w:p w:rsidR="00165C0D" w:rsidRPr="00165C0D" w:rsidRDefault="00165C0D" w:rsidP="00165C0D">
      <w:pPr>
        <w:pStyle w:val="Heading1"/>
        <w:spacing w:before="94"/>
        <w:rPr>
          <w:sz w:val="10"/>
          <w:szCs w:val="10"/>
          <w:u w:val="none"/>
        </w:rPr>
      </w:pPr>
    </w:p>
    <w:p w:rsidR="00165C0D" w:rsidRPr="00AF7B5F" w:rsidRDefault="00165C0D" w:rsidP="00165C0D">
      <w:pPr>
        <w:pStyle w:val="Heading1"/>
        <w:spacing w:before="94"/>
      </w:pPr>
      <w:r>
        <w:rPr>
          <w:u w:val="none"/>
        </w:rPr>
        <w:t>POD 6.</w:t>
      </w:r>
      <w:r w:rsidRPr="000425F4">
        <w:rPr>
          <w:u w:val="none"/>
        </w:rPr>
        <w:t xml:space="preserve">4   </w:t>
      </w:r>
      <w:r w:rsidRPr="00AF7B5F">
        <w:t>Arrendamiento turístico.</w:t>
      </w:r>
    </w:p>
    <w:p w:rsidR="00165C0D" w:rsidRPr="00AF7B5F" w:rsidRDefault="00165C0D" w:rsidP="00165C0D">
      <w:pPr>
        <w:spacing w:before="184"/>
        <w:ind w:left="153"/>
        <w:rPr>
          <w:b/>
          <w:u w:val="single"/>
        </w:rPr>
      </w:pPr>
      <w:r w:rsidRPr="00AF7B5F">
        <w:rPr>
          <w:b/>
          <w:spacing w:val="-184"/>
          <w:u w:val="single"/>
        </w:rPr>
        <w:t>M</w:t>
      </w:r>
      <w:r w:rsidRPr="00AF7B5F">
        <w:rPr>
          <w:b/>
          <w:spacing w:val="128"/>
          <w:u w:val="single"/>
        </w:rPr>
        <w:t xml:space="preserve"> </w:t>
      </w:r>
      <w:proofErr w:type="spellStart"/>
      <w:r w:rsidRPr="00AF7B5F">
        <w:rPr>
          <w:b/>
          <w:u w:val="single"/>
        </w:rPr>
        <w:t>oción</w:t>
      </w:r>
      <w:proofErr w:type="spellEnd"/>
      <w:r w:rsidRPr="00AF7B5F">
        <w:rPr>
          <w:b/>
          <w:u w:val="single"/>
        </w:rPr>
        <w:t>:</w:t>
      </w:r>
    </w:p>
    <w:p w:rsidR="00165C0D" w:rsidRDefault="00165C0D" w:rsidP="00165C0D">
      <w:pPr>
        <w:pStyle w:val="Textoindependiente"/>
        <w:spacing w:before="71"/>
        <w:ind w:left="153" w:right="236"/>
        <w:jc w:val="both"/>
      </w:pPr>
      <w:r>
        <w:t>Que la CCR acuerde que admitirá un arrendamiento turístico sólo después de la presentación de la precisa autorización oficial, no estando obligada la administración a ningún servicio a favor de los huéspedes.</w:t>
      </w:r>
    </w:p>
    <w:p w:rsidR="00165C0D" w:rsidRDefault="00165C0D" w:rsidP="00165C0D">
      <w:pPr>
        <w:pStyle w:val="Textoindependiente"/>
        <w:spacing w:before="182" w:line="278" w:lineRule="auto"/>
        <w:ind w:left="153" w:right="101"/>
        <w:jc w:val="both"/>
      </w:pPr>
      <w:r>
        <w:rPr>
          <w:b/>
        </w:rPr>
        <w:t xml:space="preserve">Fundamentos: </w:t>
      </w:r>
      <w:r>
        <w:t>El desregulado arrendamiento e incluso subarrendamiento turístico ha provocado ciertas molestias en el año pasado, y la junta directiva considera importante, que los huéspedes alojados en el edificio se registren en la policía, como es habitual en el sector hotelero.</w:t>
      </w:r>
    </w:p>
    <w:p w:rsidR="00165C0D" w:rsidRPr="00AF7B5F" w:rsidRDefault="00165C0D" w:rsidP="00165C0D">
      <w:pPr>
        <w:pStyle w:val="Heading1"/>
        <w:spacing w:before="67"/>
      </w:pPr>
      <w:r w:rsidRPr="00AF7B5F">
        <w:rPr>
          <w:spacing w:val="-160"/>
        </w:rPr>
        <w:t>R</w:t>
      </w:r>
      <w:r w:rsidRPr="00AF7B5F">
        <w:rPr>
          <w:spacing w:val="102"/>
        </w:rPr>
        <w:t xml:space="preserve"> </w:t>
      </w:r>
      <w:proofErr w:type="spellStart"/>
      <w:r w:rsidRPr="00AF7B5F">
        <w:t>esultado</w:t>
      </w:r>
      <w:proofErr w:type="spellEnd"/>
      <w:r w:rsidRPr="00AF7B5F">
        <w:t xml:space="preserve"> de la votación</w:t>
      </w:r>
    </w:p>
    <w:p w:rsidR="00165C0D" w:rsidRDefault="00165C0D" w:rsidP="00165C0D">
      <w:pPr>
        <w:pStyle w:val="Textoindependiente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5031"/>
        <w:gridCol w:w="1561"/>
        <w:gridCol w:w="1347"/>
      </w:tblGrid>
      <w:tr w:rsidR="00165C0D" w:rsidTr="00165C0D">
        <w:trPr>
          <w:trHeight w:val="722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A favor</w:t>
            </w:r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112" w:line="386" w:lineRule="auto"/>
              <w:ind w:left="124" w:right="2764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Todos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demás</w:t>
            </w:r>
            <w:proofErr w:type="spellEnd"/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355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35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= 31,820 %</w:t>
            </w:r>
          </w:p>
        </w:tc>
      </w:tr>
      <w:tr w:rsidR="00165C0D" w:rsidTr="00165C0D">
        <w:trPr>
          <w:trHeight w:val="637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65C0D" w:rsidRDefault="00165C0D" w:rsidP="00B062F0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En contra</w:t>
            </w:r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66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</w:p>
          <w:p w:rsidR="00165C0D" w:rsidRDefault="00165C0D" w:rsidP="00B062F0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z w:val="20"/>
              </w:rPr>
              <w:t>11,45,99(G.18)</w:t>
            </w:r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411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= 2,661 %</w:t>
            </w:r>
          </w:p>
        </w:tc>
      </w:tr>
      <w:tr w:rsidR="00165C0D" w:rsidTr="00165C0D">
        <w:trPr>
          <w:trHeight w:val="562"/>
        </w:trPr>
        <w:tc>
          <w:tcPr>
            <w:tcW w:w="1918" w:type="dxa"/>
          </w:tcPr>
          <w:p w:rsidR="00165C0D" w:rsidRDefault="00165C0D" w:rsidP="00B062F0">
            <w:pPr>
              <w:pStyle w:val="TableParagraph"/>
              <w:rPr>
                <w:b/>
              </w:rPr>
            </w:pPr>
          </w:p>
          <w:p w:rsidR="00165C0D" w:rsidRDefault="00165C0D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C0D" w:rsidRDefault="00165C0D" w:rsidP="00B062F0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Abstenciones</w:t>
            </w:r>
            <w:proofErr w:type="spellEnd"/>
          </w:p>
        </w:tc>
        <w:tc>
          <w:tcPr>
            <w:tcW w:w="5031" w:type="dxa"/>
          </w:tcPr>
          <w:p w:rsidR="00165C0D" w:rsidRDefault="00165C0D" w:rsidP="00B062F0">
            <w:pPr>
              <w:pStyle w:val="TableParagraph"/>
              <w:spacing w:before="66" w:line="384" w:lineRule="auto"/>
              <w:ind w:left="68" w:right="2765" w:firstLine="55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G.1</w:t>
            </w:r>
          </w:p>
        </w:tc>
        <w:tc>
          <w:tcPr>
            <w:tcW w:w="1561" w:type="dxa"/>
          </w:tcPr>
          <w:p w:rsidR="00165C0D" w:rsidRDefault="00165C0D" w:rsidP="00B062F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65C0D" w:rsidRDefault="00165C0D" w:rsidP="00B062F0">
            <w:pPr>
              <w:pStyle w:val="TableParagraph"/>
              <w:tabs>
                <w:tab w:val="left" w:pos="411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</w:t>
            </w:r>
            <w:proofErr w:type="spellEnd"/>
          </w:p>
        </w:tc>
        <w:tc>
          <w:tcPr>
            <w:tcW w:w="1347" w:type="dxa"/>
          </w:tcPr>
          <w:p w:rsidR="00165C0D" w:rsidRDefault="00165C0D" w:rsidP="00B062F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65C0D" w:rsidRDefault="00165C0D" w:rsidP="00B062F0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= 0,256 %</w:t>
            </w:r>
          </w:p>
        </w:tc>
      </w:tr>
    </w:tbl>
    <w:p w:rsidR="00165C0D" w:rsidRDefault="00165C0D" w:rsidP="00165C0D">
      <w:pPr>
        <w:spacing w:before="110"/>
        <w:ind w:left="153"/>
        <w:rPr>
          <w:sz w:val="14"/>
        </w:rPr>
      </w:pPr>
      <w:r w:rsidRPr="00AF7B5F">
        <w:rPr>
          <w:b/>
          <w:spacing w:val="-160"/>
          <w:u w:val="single"/>
        </w:rPr>
        <w:t>R</w:t>
      </w:r>
      <w:r w:rsidRPr="00AF7B5F">
        <w:rPr>
          <w:b/>
          <w:spacing w:val="101"/>
          <w:u w:val="single"/>
        </w:rPr>
        <w:t xml:space="preserve"> </w:t>
      </w:r>
      <w:proofErr w:type="spellStart"/>
      <w:r w:rsidRPr="00AF7B5F">
        <w:rPr>
          <w:b/>
          <w:u w:val="single"/>
        </w:rPr>
        <w:t>esultado</w:t>
      </w:r>
      <w:proofErr w:type="spellEnd"/>
      <w:r w:rsidRPr="00AF7B5F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La moción antecedente se aprueba como acuerdo </w:t>
      </w:r>
      <w:r>
        <w:rPr>
          <w:spacing w:val="-2"/>
        </w:rPr>
        <w:t xml:space="preserve">por </w:t>
      </w:r>
      <w:r w:rsidRPr="00AF7B5F">
        <w:rPr>
          <w:b/>
          <w:spacing w:val="-197"/>
          <w:u w:val="single"/>
        </w:rPr>
        <w:t>m</w:t>
      </w:r>
      <w:r w:rsidRPr="00AF7B5F">
        <w:rPr>
          <w:b/>
          <w:spacing w:val="137"/>
          <w:u w:val="single"/>
        </w:rPr>
        <w:t xml:space="preserve"> </w:t>
      </w:r>
      <w:proofErr w:type="spellStart"/>
      <w:r w:rsidRPr="00AF7B5F">
        <w:rPr>
          <w:b/>
          <w:u w:val="single"/>
        </w:rPr>
        <w:t>ayoría</w:t>
      </w:r>
      <w:proofErr w:type="spellEnd"/>
      <w:r>
        <w:t xml:space="preserve">. </w:t>
      </w:r>
    </w:p>
    <w:p w:rsidR="00165C0D" w:rsidRDefault="00165C0D" w:rsidP="00165C0D">
      <w:pPr>
        <w:pStyle w:val="Textoindependiente"/>
        <w:spacing w:before="96" w:line="237" w:lineRule="auto"/>
        <w:ind w:left="153"/>
      </w:pPr>
      <w:r>
        <w:t xml:space="preserve">En caso de que los arrendamientos turísticos resulten incompatibles con las necesidades de la Comunidad en el futuro, la CCR podrá revocar el permiso por mayoría </w:t>
      </w:r>
      <w:r w:rsidRPr="00AF7B5F">
        <w:rPr>
          <w:b/>
          <w:spacing w:val="-123"/>
          <w:u w:val="single"/>
        </w:rPr>
        <w:t>e</w:t>
      </w:r>
      <w:r w:rsidRPr="00AF7B5F">
        <w:rPr>
          <w:b/>
          <w:spacing w:val="63"/>
          <w:u w:val="single"/>
        </w:rPr>
        <w:t xml:space="preserve"> </w:t>
      </w:r>
      <w:r w:rsidRPr="00AF7B5F">
        <w:rPr>
          <w:b/>
          <w:u w:val="single"/>
        </w:rPr>
        <w:t>n cualquier momento</w:t>
      </w:r>
      <w:r w:rsidRPr="00AF7B5F">
        <w:rPr>
          <w:u w:val="single"/>
        </w:rPr>
        <w:t>.</w:t>
      </w:r>
    </w:p>
    <w:p w:rsidR="00165C0D" w:rsidRDefault="00165C0D" w:rsidP="00165C0D">
      <w:pPr>
        <w:spacing w:before="110"/>
        <w:ind w:left="153"/>
      </w:pPr>
    </w:p>
    <w:p w:rsidR="008D4243" w:rsidRPr="00AF7B5F" w:rsidRDefault="008D4243" w:rsidP="008D4243">
      <w:pPr>
        <w:pStyle w:val="Heading1"/>
        <w:spacing w:before="1"/>
      </w:pPr>
      <w:r>
        <w:rPr>
          <w:u w:val="none"/>
        </w:rPr>
        <w:t xml:space="preserve">POD 7.  </w:t>
      </w:r>
      <w:r w:rsidRPr="000425F4">
        <w:rPr>
          <w:u w:val="none"/>
        </w:rPr>
        <w:t xml:space="preserve"> </w:t>
      </w:r>
      <w:r w:rsidRPr="00AF7B5F">
        <w:t>Mociones de los propietarios</w:t>
      </w:r>
    </w:p>
    <w:p w:rsidR="008D4243" w:rsidRPr="00AF7B5F" w:rsidRDefault="008D4243" w:rsidP="008D4243">
      <w:pPr>
        <w:pStyle w:val="Prrafodelista"/>
        <w:numPr>
          <w:ilvl w:val="1"/>
          <w:numId w:val="1"/>
        </w:numPr>
        <w:tabs>
          <w:tab w:val="left" w:pos="521"/>
        </w:tabs>
        <w:spacing w:before="186"/>
        <w:ind w:hanging="368"/>
        <w:rPr>
          <w:b/>
        </w:rPr>
      </w:pPr>
      <w:r w:rsidRPr="00AF7B5F">
        <w:rPr>
          <w:b/>
          <w:spacing w:val="-184"/>
        </w:rPr>
        <w:t>M</w:t>
      </w:r>
      <w:r w:rsidRPr="00AF7B5F">
        <w:rPr>
          <w:b/>
          <w:spacing w:val="127"/>
        </w:rPr>
        <w:t xml:space="preserve"> </w:t>
      </w:r>
      <w:proofErr w:type="spellStart"/>
      <w:r w:rsidRPr="00AF7B5F">
        <w:rPr>
          <w:b/>
        </w:rPr>
        <w:t>oción</w:t>
      </w:r>
      <w:proofErr w:type="spellEnd"/>
      <w:r w:rsidRPr="00AF7B5F">
        <w:rPr>
          <w:b/>
        </w:rPr>
        <w:t xml:space="preserve"> del Sr. Rodríguez Hernández: Aparcamiento para</w:t>
      </w:r>
      <w:r w:rsidRPr="00AF7B5F">
        <w:rPr>
          <w:b/>
          <w:spacing w:val="1"/>
        </w:rPr>
        <w:t xml:space="preserve"> </w:t>
      </w:r>
      <w:r w:rsidRPr="00AF7B5F">
        <w:rPr>
          <w:b/>
        </w:rPr>
        <w:t>motos</w:t>
      </w:r>
    </w:p>
    <w:p w:rsidR="008D4243" w:rsidRPr="00AF7B5F" w:rsidRDefault="008D4243" w:rsidP="008D4243">
      <w:pPr>
        <w:spacing w:before="184"/>
        <w:ind w:left="153"/>
        <w:rPr>
          <w:b/>
          <w:u w:val="single"/>
        </w:rPr>
      </w:pPr>
      <w:r w:rsidRPr="00AF7B5F">
        <w:rPr>
          <w:b/>
          <w:spacing w:val="-184"/>
          <w:u w:val="single"/>
        </w:rPr>
        <w:t>M</w:t>
      </w:r>
      <w:r w:rsidRPr="00AF7B5F">
        <w:rPr>
          <w:b/>
          <w:spacing w:val="128"/>
          <w:u w:val="single"/>
        </w:rPr>
        <w:t xml:space="preserve"> </w:t>
      </w:r>
      <w:proofErr w:type="spellStart"/>
      <w:r w:rsidRPr="00AF7B5F">
        <w:rPr>
          <w:b/>
          <w:u w:val="single"/>
        </w:rPr>
        <w:t>oción</w:t>
      </w:r>
      <w:proofErr w:type="spellEnd"/>
      <w:r w:rsidRPr="00AF7B5F">
        <w:rPr>
          <w:b/>
          <w:u w:val="single"/>
        </w:rPr>
        <w:t>:</w:t>
      </w:r>
    </w:p>
    <w:p w:rsidR="008D4243" w:rsidRDefault="008D4243" w:rsidP="008D4243">
      <w:pPr>
        <w:pStyle w:val="Textoindependiente"/>
        <w:spacing w:before="92"/>
        <w:ind w:left="153" w:right="200"/>
        <w:jc w:val="both"/>
      </w:pPr>
      <w:r>
        <w:t>Que se habilite una de las plazas del parking de la comunidad para motos y bicicletas, señalizada como tal y con baranda de hierro para poder asegurarlas para evitar robos, de esta forma sólo se usaría una plaza del parking. El coste para la comunidad sería mínimo y quedarían más plazas libres para coches.</w:t>
      </w:r>
    </w:p>
    <w:p w:rsidR="008D4243" w:rsidRDefault="008D4243" w:rsidP="008D4243">
      <w:pPr>
        <w:pStyle w:val="Heading1"/>
        <w:spacing w:before="179"/>
        <w:rPr>
          <w:u w:val="none"/>
        </w:rPr>
      </w:pPr>
      <w:r w:rsidRPr="000425F4">
        <w:rPr>
          <w:spacing w:val="-160"/>
        </w:rPr>
        <w:t>R</w:t>
      </w:r>
      <w:r w:rsidRPr="000425F4">
        <w:rPr>
          <w:spacing w:val="102"/>
        </w:rPr>
        <w:t xml:space="preserve"> </w:t>
      </w:r>
      <w:proofErr w:type="spellStart"/>
      <w:r w:rsidRPr="000425F4">
        <w:t>e</w:t>
      </w:r>
      <w:r>
        <w:rPr>
          <w:u w:val="thick"/>
        </w:rPr>
        <w:t>sultado</w:t>
      </w:r>
      <w:proofErr w:type="spellEnd"/>
      <w:r>
        <w:rPr>
          <w:u w:val="thick"/>
        </w:rPr>
        <w:t xml:space="preserve"> de la votación</w:t>
      </w:r>
    </w:p>
    <w:p w:rsidR="008D4243" w:rsidRDefault="008D4243" w:rsidP="008D4243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8"/>
        <w:gridCol w:w="5031"/>
        <w:gridCol w:w="1561"/>
        <w:gridCol w:w="1347"/>
      </w:tblGrid>
      <w:tr w:rsidR="008D4243" w:rsidTr="00B062F0">
        <w:trPr>
          <w:trHeight w:val="918"/>
        </w:trPr>
        <w:tc>
          <w:tcPr>
            <w:tcW w:w="1918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A favor</w:t>
            </w:r>
          </w:p>
        </w:tc>
        <w:tc>
          <w:tcPr>
            <w:tcW w:w="5031" w:type="dxa"/>
          </w:tcPr>
          <w:p w:rsidR="008D4243" w:rsidRDefault="008D4243" w:rsidP="00B062F0">
            <w:pPr>
              <w:pStyle w:val="TableParagraph"/>
              <w:spacing w:before="112" w:line="384" w:lineRule="auto"/>
              <w:ind w:left="179" w:right="2709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Todos</w:t>
            </w:r>
            <w:proofErr w:type="spellEnd"/>
            <w:r>
              <w:rPr>
                <w:sz w:val="20"/>
              </w:rPr>
              <w:t xml:space="preserve"> los </w:t>
            </w:r>
            <w:proofErr w:type="spellStart"/>
            <w:r>
              <w:rPr>
                <w:sz w:val="20"/>
              </w:rPr>
              <w:t>demás</w:t>
            </w:r>
            <w:proofErr w:type="spellEnd"/>
          </w:p>
        </w:tc>
        <w:tc>
          <w:tcPr>
            <w:tcW w:w="1561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410"/>
              </w:tabs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37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= 32,691 %</w:t>
            </w:r>
          </w:p>
        </w:tc>
      </w:tr>
      <w:tr w:rsidR="008D4243" w:rsidTr="00B062F0">
        <w:trPr>
          <w:trHeight w:val="758"/>
        </w:trPr>
        <w:tc>
          <w:tcPr>
            <w:tcW w:w="1918" w:type="dxa"/>
          </w:tcPr>
          <w:p w:rsidR="008D4243" w:rsidRDefault="008D4243" w:rsidP="00B062F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D4243" w:rsidRDefault="008D4243" w:rsidP="00B062F0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En contra</w:t>
            </w:r>
          </w:p>
        </w:tc>
        <w:tc>
          <w:tcPr>
            <w:tcW w:w="5031" w:type="dxa"/>
          </w:tcPr>
          <w:p w:rsidR="008D4243" w:rsidRDefault="008D4243" w:rsidP="00B062F0">
            <w:pPr>
              <w:pStyle w:val="TableParagraph"/>
              <w:spacing w:before="66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</w:p>
          <w:p w:rsidR="008D4243" w:rsidRDefault="008D4243" w:rsidP="00B062F0">
            <w:pPr>
              <w:pStyle w:val="TableParagraph"/>
              <w:spacing w:before="118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Ninguno</w:t>
            </w:r>
            <w:proofErr w:type="spellEnd"/>
          </w:p>
        </w:tc>
        <w:tc>
          <w:tcPr>
            <w:tcW w:w="1561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398"/>
              </w:tabs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= 0,000 %</w:t>
            </w:r>
          </w:p>
        </w:tc>
      </w:tr>
      <w:tr w:rsidR="008D4243" w:rsidTr="00B062F0">
        <w:trPr>
          <w:trHeight w:val="690"/>
        </w:trPr>
        <w:tc>
          <w:tcPr>
            <w:tcW w:w="1918" w:type="dxa"/>
          </w:tcPr>
          <w:p w:rsidR="008D4243" w:rsidRDefault="008D4243" w:rsidP="00B062F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D4243" w:rsidRDefault="008D4243" w:rsidP="00B062F0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Abstenciones</w:t>
            </w:r>
            <w:proofErr w:type="spellEnd"/>
          </w:p>
        </w:tc>
        <w:tc>
          <w:tcPr>
            <w:tcW w:w="5031" w:type="dxa"/>
          </w:tcPr>
          <w:p w:rsidR="008D4243" w:rsidRDefault="008D4243" w:rsidP="00B062F0">
            <w:pPr>
              <w:pStyle w:val="TableParagraph"/>
              <w:spacing w:before="66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</w:p>
          <w:p w:rsidR="008D4243" w:rsidRDefault="008D4243" w:rsidP="00B062F0">
            <w:pPr>
              <w:pStyle w:val="TableParagraph"/>
              <w:spacing w:before="116"/>
              <w:ind w:left="179"/>
              <w:rPr>
                <w:sz w:val="20"/>
              </w:rPr>
            </w:pPr>
            <w:r>
              <w:rPr>
                <w:sz w:val="20"/>
              </w:rPr>
              <w:t>74A/B, 76A</w:t>
            </w:r>
          </w:p>
        </w:tc>
        <w:tc>
          <w:tcPr>
            <w:tcW w:w="1561" w:type="dxa"/>
          </w:tcPr>
          <w:p w:rsidR="008D4243" w:rsidRDefault="008D4243" w:rsidP="00B062F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398"/>
              </w:tabs>
              <w:spacing w:before="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7" w:type="dxa"/>
          </w:tcPr>
          <w:p w:rsidR="008D4243" w:rsidRDefault="008D4243" w:rsidP="00B062F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D4243" w:rsidRDefault="008D4243" w:rsidP="00B062F0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= 2,046 %</w:t>
            </w:r>
          </w:p>
        </w:tc>
      </w:tr>
    </w:tbl>
    <w:p w:rsidR="008D4243" w:rsidRDefault="008D4243" w:rsidP="008D4243">
      <w:pPr>
        <w:spacing w:before="110"/>
        <w:ind w:left="153"/>
      </w:pPr>
      <w:r w:rsidRPr="007575F5">
        <w:rPr>
          <w:b/>
          <w:spacing w:val="-160"/>
          <w:u w:val="single"/>
        </w:rPr>
        <w:t>R</w:t>
      </w:r>
      <w:r w:rsidRPr="007575F5">
        <w:rPr>
          <w:b/>
          <w:spacing w:val="101"/>
          <w:u w:val="single"/>
        </w:rPr>
        <w:t xml:space="preserve"> </w:t>
      </w:r>
      <w:proofErr w:type="spellStart"/>
      <w:r w:rsidRPr="007575F5">
        <w:rPr>
          <w:b/>
          <w:u w:val="single"/>
        </w:rPr>
        <w:t>esultado</w:t>
      </w:r>
      <w:proofErr w:type="spellEnd"/>
      <w:r>
        <w:rPr>
          <w:b/>
          <w:u w:val="thick"/>
        </w:rPr>
        <w:t>:</w:t>
      </w:r>
      <w:r>
        <w:rPr>
          <w:b/>
        </w:rPr>
        <w:t xml:space="preserve"> </w:t>
      </w:r>
      <w:r>
        <w:t xml:space="preserve">La moción antecedente se aprueba como acuerdo </w:t>
      </w:r>
      <w:r>
        <w:rPr>
          <w:spacing w:val="-2"/>
        </w:rPr>
        <w:t xml:space="preserve">por </w:t>
      </w:r>
      <w:r>
        <w:t xml:space="preserve">decisión </w:t>
      </w:r>
      <w:r w:rsidRPr="007575F5">
        <w:rPr>
          <w:b/>
          <w:spacing w:val="-135"/>
          <w:u w:val="single"/>
        </w:rPr>
        <w:t>u</w:t>
      </w:r>
      <w:r w:rsidRPr="007575F5">
        <w:rPr>
          <w:b/>
          <w:spacing w:val="77"/>
          <w:u w:val="single"/>
        </w:rPr>
        <w:t xml:space="preserve"> </w:t>
      </w:r>
      <w:proofErr w:type="spellStart"/>
      <w:r w:rsidRPr="007575F5">
        <w:rPr>
          <w:b/>
          <w:u w:val="single"/>
        </w:rPr>
        <w:t>nánime</w:t>
      </w:r>
      <w:proofErr w:type="spellEnd"/>
      <w:r>
        <w:t>.</w:t>
      </w:r>
    </w:p>
    <w:p w:rsidR="00165C0D" w:rsidRDefault="00165C0D" w:rsidP="00165C0D"/>
    <w:p w:rsidR="008D4243" w:rsidRPr="007575F5" w:rsidRDefault="008D4243" w:rsidP="008D4243">
      <w:pPr>
        <w:pStyle w:val="Heading1"/>
        <w:numPr>
          <w:ilvl w:val="1"/>
          <w:numId w:val="1"/>
        </w:numPr>
        <w:tabs>
          <w:tab w:val="left" w:pos="521"/>
        </w:tabs>
        <w:spacing w:before="94"/>
        <w:ind w:hanging="368"/>
      </w:pPr>
      <w:r w:rsidRPr="007575F5">
        <w:rPr>
          <w:spacing w:val="-184"/>
        </w:rPr>
        <w:t>M</w:t>
      </w:r>
      <w:r w:rsidRPr="007575F5">
        <w:rPr>
          <w:spacing w:val="127"/>
        </w:rPr>
        <w:t xml:space="preserve"> </w:t>
      </w:r>
      <w:proofErr w:type="spellStart"/>
      <w:r w:rsidRPr="007575F5">
        <w:t>oción</w:t>
      </w:r>
      <w:proofErr w:type="spellEnd"/>
      <w:r w:rsidRPr="007575F5">
        <w:t xml:space="preserve"> del Sr. Jung: Letreros plurilingües para la</w:t>
      </w:r>
      <w:r w:rsidRPr="007575F5">
        <w:rPr>
          <w:spacing w:val="-7"/>
        </w:rPr>
        <w:t xml:space="preserve"> </w:t>
      </w:r>
      <w:r w:rsidRPr="007575F5">
        <w:t>azotea</w:t>
      </w:r>
    </w:p>
    <w:p w:rsidR="008D4243" w:rsidRPr="007575F5" w:rsidRDefault="008D4243" w:rsidP="008D4243">
      <w:pPr>
        <w:spacing w:before="184"/>
        <w:ind w:left="153"/>
        <w:rPr>
          <w:b/>
          <w:u w:val="single"/>
        </w:rPr>
      </w:pPr>
      <w:r w:rsidRPr="007575F5">
        <w:rPr>
          <w:b/>
          <w:spacing w:val="-184"/>
          <w:u w:val="single"/>
        </w:rPr>
        <w:t>M</w:t>
      </w:r>
      <w:r w:rsidRPr="007575F5">
        <w:rPr>
          <w:b/>
          <w:spacing w:val="128"/>
          <w:u w:val="single"/>
        </w:rPr>
        <w:t xml:space="preserve"> </w:t>
      </w:r>
      <w:proofErr w:type="spellStart"/>
      <w:r w:rsidRPr="007575F5">
        <w:rPr>
          <w:b/>
          <w:u w:val="single"/>
        </w:rPr>
        <w:t>oción</w:t>
      </w:r>
      <w:proofErr w:type="spellEnd"/>
      <w:r w:rsidRPr="007575F5">
        <w:rPr>
          <w:b/>
          <w:u w:val="single"/>
        </w:rPr>
        <w:t>:</w:t>
      </w:r>
    </w:p>
    <w:p w:rsidR="008D4243" w:rsidRDefault="008D4243" w:rsidP="008D4243">
      <w:pPr>
        <w:pStyle w:val="Textoindependiente"/>
        <w:spacing w:before="105"/>
        <w:ind w:left="153" w:right="235"/>
        <w:jc w:val="both"/>
      </w:pPr>
      <w:r>
        <w:t xml:space="preserve">Que la comunidad acuerde la colocación de avisos plurilingües en las entradas al solárium, prohibiendo cualquier clase de actividad deportiva. En el pasado tuve que informar en varias ocasiones a </w:t>
      </w:r>
      <w:proofErr w:type="spellStart"/>
      <w:r>
        <w:t>skaters</w:t>
      </w:r>
      <w:proofErr w:type="spellEnd"/>
      <w:r>
        <w:t xml:space="preserve"> </w:t>
      </w:r>
      <w:proofErr w:type="spellStart"/>
      <w:r>
        <w:t>inline</w:t>
      </w:r>
      <w:proofErr w:type="spellEnd"/>
      <w:r>
        <w:t xml:space="preserve"> que esto no está permitido.</w:t>
      </w:r>
    </w:p>
    <w:p w:rsidR="008D4243" w:rsidRDefault="008D4243" w:rsidP="008D4243">
      <w:pPr>
        <w:pStyle w:val="Textoindependiente"/>
        <w:spacing w:before="69"/>
        <w:ind w:left="142"/>
      </w:pPr>
      <w:r>
        <w:t>Se hace constar que la prohibición de actividades deportivas en el solárium ya está recogida en el orden interno. En lugar de placas multilingües se sugiere el uso de símbolos claros.</w:t>
      </w:r>
    </w:p>
    <w:p w:rsidR="008D4243" w:rsidRDefault="008D4243" w:rsidP="008D4243">
      <w:pPr>
        <w:pStyle w:val="Textoindependiente"/>
        <w:spacing w:before="1"/>
        <w:ind w:left="142"/>
      </w:pPr>
      <w:r>
        <w:t>Sigue la votación como sigue.</w:t>
      </w:r>
    </w:p>
    <w:p w:rsidR="008D4243" w:rsidRPr="000C20BB" w:rsidRDefault="008D4243" w:rsidP="008D4243">
      <w:pPr>
        <w:pStyle w:val="Heading1"/>
        <w:spacing w:before="136"/>
        <w:ind w:left="142"/>
      </w:pPr>
      <w:r w:rsidRPr="000C20BB">
        <w:rPr>
          <w:spacing w:val="-160"/>
        </w:rPr>
        <w:t>R</w:t>
      </w:r>
      <w:r w:rsidRPr="000C20BB">
        <w:rPr>
          <w:spacing w:val="102"/>
        </w:rPr>
        <w:t xml:space="preserve"> </w:t>
      </w:r>
      <w:proofErr w:type="spellStart"/>
      <w:r w:rsidRPr="000C20BB">
        <w:t>esultado</w:t>
      </w:r>
      <w:proofErr w:type="spellEnd"/>
      <w:r w:rsidRPr="000C20BB">
        <w:t xml:space="preserve"> de la votación:</w:t>
      </w:r>
    </w:p>
    <w:p w:rsidR="008D4243" w:rsidRPr="007575F5" w:rsidRDefault="008D4243" w:rsidP="008D4243">
      <w:pPr>
        <w:pStyle w:val="Textoindependiente"/>
        <w:spacing w:before="6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5030"/>
        <w:gridCol w:w="1560"/>
        <w:gridCol w:w="1346"/>
      </w:tblGrid>
      <w:tr w:rsidR="008D4243" w:rsidTr="00B062F0">
        <w:trPr>
          <w:trHeight w:val="921"/>
        </w:trPr>
        <w:tc>
          <w:tcPr>
            <w:tcW w:w="1953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A favor</w:t>
            </w:r>
          </w:p>
        </w:tc>
        <w:tc>
          <w:tcPr>
            <w:tcW w:w="5030" w:type="dxa"/>
          </w:tcPr>
          <w:p w:rsidR="008D4243" w:rsidRDefault="008D4243" w:rsidP="00B062F0">
            <w:pPr>
              <w:pStyle w:val="TableParagraph"/>
              <w:spacing w:before="112" w:line="384" w:lineRule="auto"/>
              <w:ind w:left="38" w:right="2849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Todos</w:t>
            </w:r>
            <w:proofErr w:type="spellEnd"/>
          </w:p>
        </w:tc>
        <w:tc>
          <w:tcPr>
            <w:tcW w:w="1560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393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39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6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= 34,737 %</w:t>
            </w:r>
          </w:p>
        </w:tc>
      </w:tr>
      <w:tr w:rsidR="008D4243" w:rsidTr="00B062F0">
        <w:trPr>
          <w:trHeight w:val="757"/>
        </w:trPr>
        <w:tc>
          <w:tcPr>
            <w:tcW w:w="1953" w:type="dxa"/>
          </w:tcPr>
          <w:p w:rsidR="008D4243" w:rsidRDefault="008D4243" w:rsidP="00B062F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D4243" w:rsidRDefault="008D4243" w:rsidP="00B062F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En contra</w:t>
            </w:r>
          </w:p>
        </w:tc>
        <w:tc>
          <w:tcPr>
            <w:tcW w:w="5030" w:type="dxa"/>
          </w:tcPr>
          <w:p w:rsidR="008D4243" w:rsidRDefault="008D4243" w:rsidP="00B062F0">
            <w:pPr>
              <w:pStyle w:val="TableParagraph"/>
              <w:spacing w:before="64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</w:p>
          <w:p w:rsidR="008D4243" w:rsidRDefault="008D4243" w:rsidP="00B062F0">
            <w:pPr>
              <w:pStyle w:val="TableParagraph"/>
              <w:spacing w:before="118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Ninguno</w:t>
            </w:r>
            <w:proofErr w:type="spellEnd"/>
          </w:p>
        </w:tc>
        <w:tc>
          <w:tcPr>
            <w:tcW w:w="1560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436"/>
              </w:tabs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6" w:type="dxa"/>
          </w:tcPr>
          <w:p w:rsidR="008D4243" w:rsidRDefault="008D4243" w:rsidP="00B062F0">
            <w:pPr>
              <w:pStyle w:val="TableParagraph"/>
              <w:rPr>
                <w:b/>
              </w:rPr>
            </w:pPr>
          </w:p>
          <w:p w:rsidR="008D4243" w:rsidRDefault="008D4243" w:rsidP="00B062F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432"/>
              </w:tabs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z w:val="20"/>
              </w:rPr>
              <w:tab/>
              <w:t>0,000 %</w:t>
            </w:r>
          </w:p>
        </w:tc>
      </w:tr>
      <w:tr w:rsidR="008D4243" w:rsidTr="00B062F0">
        <w:trPr>
          <w:trHeight w:val="688"/>
        </w:trPr>
        <w:tc>
          <w:tcPr>
            <w:tcW w:w="1953" w:type="dxa"/>
          </w:tcPr>
          <w:p w:rsidR="008D4243" w:rsidRDefault="008D4243" w:rsidP="00B062F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D4243" w:rsidRDefault="008D4243" w:rsidP="00B062F0">
            <w:pPr>
              <w:pStyle w:val="TableParagraph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Abstenciones</w:t>
            </w:r>
            <w:proofErr w:type="spellEnd"/>
          </w:p>
        </w:tc>
        <w:tc>
          <w:tcPr>
            <w:tcW w:w="5030" w:type="dxa"/>
          </w:tcPr>
          <w:p w:rsidR="008D4243" w:rsidRDefault="008D4243" w:rsidP="00B062F0">
            <w:pPr>
              <w:pStyle w:val="TableParagraph"/>
              <w:spacing w:before="64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Apartamentos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garajes</w:t>
            </w:r>
            <w:proofErr w:type="spellEnd"/>
          </w:p>
          <w:p w:rsidR="008D4243" w:rsidRDefault="008D4243" w:rsidP="00B062F0">
            <w:pPr>
              <w:pStyle w:val="TableParagraph"/>
              <w:spacing w:before="116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Ninguno</w:t>
            </w:r>
            <w:proofErr w:type="spellEnd"/>
          </w:p>
        </w:tc>
        <w:tc>
          <w:tcPr>
            <w:tcW w:w="1560" w:type="dxa"/>
          </w:tcPr>
          <w:p w:rsidR="008D4243" w:rsidRDefault="008D4243" w:rsidP="00B062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436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}</w:t>
            </w:r>
            <w:r>
              <w:rPr>
                <w:sz w:val="20"/>
              </w:rPr>
              <w:tab/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votos</w:t>
            </w:r>
            <w:proofErr w:type="spellEnd"/>
          </w:p>
        </w:tc>
        <w:tc>
          <w:tcPr>
            <w:tcW w:w="1346" w:type="dxa"/>
          </w:tcPr>
          <w:p w:rsidR="008D4243" w:rsidRDefault="008D4243" w:rsidP="00B062F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D4243" w:rsidRDefault="008D4243" w:rsidP="00B062F0">
            <w:pPr>
              <w:pStyle w:val="TableParagraph"/>
              <w:tabs>
                <w:tab w:val="left" w:pos="432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z w:val="20"/>
              </w:rPr>
              <w:tab/>
              <w:t>0,000 %</w:t>
            </w:r>
          </w:p>
        </w:tc>
      </w:tr>
    </w:tbl>
    <w:p w:rsidR="008D4243" w:rsidRDefault="008D4243" w:rsidP="008D4243">
      <w:pPr>
        <w:spacing w:before="110"/>
        <w:ind w:left="153"/>
      </w:pPr>
      <w:r w:rsidRPr="000C20BB">
        <w:rPr>
          <w:b/>
          <w:spacing w:val="-160"/>
          <w:u w:val="single"/>
        </w:rPr>
        <w:t>R</w:t>
      </w:r>
      <w:r w:rsidRPr="000C20BB">
        <w:rPr>
          <w:b/>
          <w:spacing w:val="101"/>
          <w:u w:val="single"/>
        </w:rPr>
        <w:t xml:space="preserve"> </w:t>
      </w:r>
      <w:proofErr w:type="spellStart"/>
      <w:r w:rsidRPr="000C20BB">
        <w:rPr>
          <w:b/>
          <w:u w:val="single"/>
        </w:rPr>
        <w:t>esultado</w:t>
      </w:r>
      <w:proofErr w:type="spellEnd"/>
      <w:r w:rsidRPr="000C20BB">
        <w:rPr>
          <w:b/>
          <w:u w:val="single"/>
        </w:rPr>
        <w:t>:</w:t>
      </w:r>
      <w:r>
        <w:rPr>
          <w:b/>
        </w:rPr>
        <w:t xml:space="preserve"> </w:t>
      </w:r>
      <w:r>
        <w:t xml:space="preserve">La moción antecedente se aprueba como acuerdo </w:t>
      </w:r>
      <w:r>
        <w:rPr>
          <w:spacing w:val="-2"/>
        </w:rPr>
        <w:t xml:space="preserve">por </w:t>
      </w:r>
      <w:r>
        <w:t xml:space="preserve">decisión </w:t>
      </w:r>
      <w:r w:rsidRPr="000C20BB">
        <w:rPr>
          <w:b/>
          <w:spacing w:val="-135"/>
          <w:u w:val="single"/>
        </w:rPr>
        <w:t>u</w:t>
      </w:r>
      <w:r w:rsidRPr="000C20BB">
        <w:rPr>
          <w:b/>
          <w:spacing w:val="77"/>
          <w:u w:val="single"/>
        </w:rPr>
        <w:t xml:space="preserve"> </w:t>
      </w:r>
      <w:proofErr w:type="spellStart"/>
      <w:r w:rsidRPr="000C20BB">
        <w:rPr>
          <w:b/>
          <w:u w:val="single"/>
        </w:rPr>
        <w:t>nánime</w:t>
      </w:r>
      <w:proofErr w:type="spellEnd"/>
      <w:r w:rsidRPr="000C20BB">
        <w:rPr>
          <w:u w:val="single"/>
        </w:rPr>
        <w:t>.</w:t>
      </w:r>
    </w:p>
    <w:p w:rsidR="008D4243" w:rsidRDefault="008D4243" w:rsidP="008D4243">
      <w:pPr>
        <w:pStyle w:val="Textoindependiente"/>
        <w:rPr>
          <w:sz w:val="20"/>
        </w:rPr>
      </w:pPr>
    </w:p>
    <w:p w:rsidR="008D4243" w:rsidRDefault="008D4243" w:rsidP="00165C0D"/>
    <w:sectPr w:rsidR="008D4243" w:rsidSect="00165C0D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363"/>
    <w:multiLevelType w:val="multilevel"/>
    <w:tmpl w:val="DF2AC8FA"/>
    <w:lvl w:ilvl="0">
      <w:start w:val="7"/>
      <w:numFmt w:val="decimal"/>
      <w:lvlText w:val="%1"/>
      <w:lvlJc w:val="left"/>
      <w:pPr>
        <w:ind w:left="520" w:hanging="367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20" w:hanging="36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461" w:hanging="3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431" w:hanging="3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2" w:hanging="3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3" w:hanging="3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3" w:hanging="3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4" w:hanging="3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85" w:hanging="36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C0D"/>
    <w:rsid w:val="00165C0D"/>
    <w:rsid w:val="008D4243"/>
    <w:rsid w:val="00D4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6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5C0D"/>
    <w:rPr>
      <w:rFonts w:ascii="Arial" w:eastAsia="Arial" w:hAnsi="Arial" w:cs="Arial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165C0D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Arial" w:eastAsia="Arial" w:hAnsi="Arial" w:cs="Arial"/>
      <w:b/>
      <w:bCs/>
      <w:u w:val="single" w:color="000000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165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8D4243"/>
    <w:pPr>
      <w:widowControl w:val="0"/>
      <w:autoSpaceDE w:val="0"/>
      <w:autoSpaceDN w:val="0"/>
      <w:spacing w:after="0" w:line="240" w:lineRule="auto"/>
      <w:ind w:left="520" w:hanging="434"/>
    </w:pPr>
    <w:rPr>
      <w:rFonts w:ascii="Arial" w:eastAsia="Arial" w:hAnsi="Arial" w:cs="Arial"/>
      <w:u w:val="single" w:color="000000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2019-05-10T18:26:00Z</dcterms:created>
  <dcterms:modified xsi:type="dcterms:W3CDTF">2019-05-10T18:39:00Z</dcterms:modified>
</cp:coreProperties>
</file>